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2.png" ContentType="image/png"/>
  <Override PartName="/word/media/image1.jpeg" ContentType="image/jpeg"/>
  <Override PartName="/word/media/image4.jpeg" ContentType="image/jpeg"/>
  <Override PartName="/word/media/image3.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left="142" w:right="0"/>
        <w:jc w:val="both"/>
        <w:rPr/>
      </w:pPr>
      <w:r>
        <w:rPr/>
      </w:r>
    </w:p>
    <w:p>
      <w:pPr>
        <w:pStyle w:val="Normal"/>
        <w:ind w:firstLine="708" w:left="142" w:right="199"/>
        <w:jc w:val="both"/>
        <w:rPr>
          <w:sz w:val="22"/>
          <w:szCs w:val="22"/>
          <w:highlight w:val="none"/>
        </w:rPr>
      </w:pPr>
      <w:r>
        <w:rPr>
          <w:b/>
          <w:bCs/>
          <w:color w:val="FF0000"/>
          <w:sz w:val="24"/>
          <w:szCs w:val="24"/>
          <w:lang w:eastAsia="zh-CN"/>
        </w:rPr>
        <w:t>Помните!</w:t>
      </w:r>
      <w:r>
        <w:rPr>
          <w:b/>
          <w:bCs/>
          <w:sz w:val="24"/>
          <w:szCs w:val="24"/>
          <w:lang w:eastAsia="zh-CN"/>
        </w:rPr>
        <w:t xml:space="preserve"> </w:t>
      </w:r>
      <w:r>
        <w:rPr>
          <w:sz w:val="22"/>
          <w:szCs w:val="22"/>
        </w:rPr>
        <w:t>Ребенок живет в реальном мире, со всеми его сложностями, противоречиями, несправедливостями. Он зависим не только от воздействия этих факторов, но, прежде всего – от мнения окружающих людей о нем. Ему важно получать поддержку и одобрение от значимых ему людей, а не угрозы и страх</w:t>
      </w: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>перед расплатой за совершенные ошибки.</w:t>
      </w:r>
    </w:p>
    <w:p>
      <w:pPr>
        <w:pStyle w:val="Normal"/>
        <w:rPr/>
      </w:pPr>
      <w:r>
        <w:rPr/>
        <w:drawing>
          <wp:anchor behindDoc="1" distT="0" distB="0" distL="0" distR="0" simplePos="0" locked="0" layoutInCell="1" allowOverlap="1" relativeHeight="5">
            <wp:simplePos x="0" y="0"/>
            <wp:positionH relativeFrom="column">
              <wp:posOffset>114300</wp:posOffset>
            </wp:positionH>
            <wp:positionV relativeFrom="paragraph">
              <wp:posOffset>238125</wp:posOffset>
            </wp:positionV>
            <wp:extent cx="3225800" cy="2418080"/>
            <wp:effectExtent l="0" t="0" r="0" b="0"/>
            <wp:wrapNone/>
            <wp:docPr id="1" name="_x005F_x0000_s10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s105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" t="-22" r="-17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>
          <w:highlight w:val="none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260" w:leader="none"/>
        </w:tabs>
        <w:spacing w:lineRule="atLeast" w:line="0"/>
        <w:ind w:hanging="0" w:left="0" w:right="0"/>
        <w:rPr>
          <w:color w:val="FF0000"/>
        </w:rPr>
      </w:pPr>
      <w:r>
        <w:rPr>
          <w:rFonts w:eastAsia="Arial" w:cs="Arial"/>
          <w:b/>
          <w:sz w:val="24"/>
        </w:rPr>
        <w:tab/>
      </w:r>
      <w:r>
        <w:rPr>
          <w:rFonts w:eastAsia="Arial" w:cs="Arial"/>
          <w:b/>
          <w:color w:val="FF0000"/>
          <w:sz w:val="24"/>
        </w:rPr>
        <w:t>Подавайте пример</w:t>
      </w:r>
    </w:p>
    <w:p>
      <w:pPr>
        <w:pStyle w:val="Normal"/>
        <w:tabs>
          <w:tab w:val="clear" w:pos="708"/>
          <w:tab w:val="left" w:pos="5102" w:leader="none"/>
        </w:tabs>
        <w:spacing w:lineRule="auto" w:line="259"/>
        <w:ind w:firstLine="566" w:left="142" w:right="199"/>
        <w:jc w:val="both"/>
        <w:rPr>
          <w:sz w:val="22"/>
          <w:szCs w:val="22"/>
        </w:rPr>
      </w:pPr>
      <w:r>
        <w:rPr>
          <w:rFonts w:eastAsia="Arial" w:cs="Arial"/>
          <w:sz w:val="22"/>
          <w:szCs w:val="22"/>
        </w:rPr>
        <w:t>При воспитании ребёнка важнейшим компонентом является родительский пример. Конечно, табак и алкоголь употребляют многие люди, но нужно понимать, что родительское пристрастие к спиртному и декламируемый запрет на него для подростка дают повод обвинить старших в неискренности.</w:t>
      </w:r>
    </w:p>
    <w:p>
      <w:pPr>
        <w:pStyle w:val="Normal"/>
        <w:tabs>
          <w:tab w:val="clear" w:pos="708"/>
          <w:tab w:val="left" w:pos="5102" w:leader="none"/>
        </w:tabs>
        <w:ind w:firstLine="566" w:left="142" w:right="199"/>
        <w:jc w:val="both"/>
        <w:rPr/>
      </w:pPr>
      <w:r>
        <w:rPr>
          <w:rFonts w:eastAsia="Arial" w:cs="Arial"/>
          <w:sz w:val="22"/>
          <w:szCs w:val="22"/>
        </w:rPr>
        <w:t>Помните, что Ваше использование «легальных» психоактивных веществ открывает дорогу детям и к «нелегальным».</w:t>
      </w:r>
    </w:p>
    <w:p>
      <w:pPr>
        <w:pStyle w:val="Normal"/>
        <w:jc w:val="center"/>
        <w:rPr>
          <w:color w:val="FF0000"/>
        </w:rPr>
      </w:pPr>
      <w:r>
        <w:rPr>
          <w:color w:val="FF0000"/>
        </w:rPr>
      </w:r>
    </w:p>
    <w:p>
      <w:pPr>
        <w:pStyle w:val="Normal"/>
        <w:jc w:val="center"/>
        <w:rPr>
          <w:rFonts w:ascii="Caladea" w:hAnsi="Caladea" w:cs="Caladea"/>
          <w:color w:val="FF0000"/>
          <w:sz w:val="40"/>
          <w:szCs w:val="40"/>
          <w:highlight w:val="none"/>
        </w:rPr>
      </w:pPr>
      <w:r>
        <w:rPr>
          <w:rFonts w:cs="Caladea" w:ascii="Caladea" w:hAnsi="Caladea"/>
          <w:color w:val="FF0000"/>
          <w:sz w:val="40"/>
          <w:szCs w:val="40"/>
        </w:rPr>
        <w:t>Если случилась беда</w:t>
      </w:r>
    </w:p>
    <w:p>
      <w:pPr>
        <w:pStyle w:val="Normal"/>
        <w:ind w:hanging="0" w:left="142" w:right="199"/>
        <w:jc w:val="center"/>
        <w:rPr>
          <w:sz w:val="26"/>
          <w:szCs w:val="26"/>
        </w:rPr>
      </w:pPr>
      <w:r>
        <w:rPr>
          <w:sz w:val="26"/>
          <w:szCs w:val="26"/>
        </w:rPr>
        <w:t>Если Вам понадобилась консультация специалистов, Вы стали свидетелем факта распространения наркотиков или у Вас появилось подозрение, что Ваш ребёнок начал употреблять наркотики, звоните по следующим телефонам:</w:t>
      </w:r>
    </w:p>
    <w:tbl>
      <w:tblPr>
        <w:tblStyle w:val="732"/>
        <w:tblW w:w="5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359"/>
        <w:gridCol w:w="1988"/>
      </w:tblGrid>
      <w:tr>
        <w:trPr/>
        <w:tc>
          <w:tcPr>
            <w:tcW w:w="3359" w:type="dxa"/>
            <w:tcBorders/>
          </w:tcPr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Управление МВД</w:t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России по городу Краснодару</w:t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578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Антинаркотическая комиссия муниципального образования</w:t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город Краснодар</w:t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578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Единая дежурно-диспетчерская служба (ЕДДС) муниципального образования город Краснодар</w:t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578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«Горячая линия»</w:t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Единый консультативный телефон наркологической службы</w:t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578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Государственное бюджетное</w:t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учреждение здравоохранения «Наркологический диспансер» министерства здравоохранения Краснодарского края:</w:t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Диспансерное отделение № 2</w:t>
            </w:r>
          </w:p>
          <w:p>
            <w:pPr>
              <w:pStyle w:val="Normal"/>
              <w:widowControl/>
              <w:tabs>
                <w:tab w:val="clear" w:pos="708"/>
              </w:tabs>
              <w:spacing w:lineRule="auto" w:line="276" w:before="0" w:after="0"/>
              <w:ind w:hanging="0" w:left="0" w:right="0"/>
              <w:jc w:val="left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  <w:t>(по несовершеннолетним)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adea" w:hAnsi="Caladea" w:cs="Caladea"/>
                <w:sz w:val="24"/>
                <w:szCs w:val="24"/>
              </w:rPr>
            </w:pPr>
            <w:r>
              <w:rPr>
                <w:rFonts w:cs="Caladea" w:ascii="Caladea" w:hAnsi="Caladea"/>
                <w:sz w:val="24"/>
                <w:szCs w:val="24"/>
              </w:rPr>
            </w:r>
          </w:p>
        </w:tc>
        <w:tc>
          <w:tcPr>
            <w:tcW w:w="198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rFonts w:eastAsia="Arial" w:cs="Arial"/>
                <w:b/>
                <w:color w:val="002060"/>
                <w:kern w:val="0"/>
                <w:sz w:val="22"/>
                <w:szCs w:val="22"/>
                <w:lang w:val="ru-RU" w:eastAsia="en-US" w:bidi="ar-SA"/>
              </w:rPr>
              <w:t>02, 102,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highlight w:val="none"/>
              </w:rPr>
            </w:pPr>
            <w:r>
              <w:rPr>
                <w:rFonts w:eastAsia="Arial" w:cs="Arial"/>
                <w:b/>
                <w:color w:val="002060"/>
                <w:kern w:val="0"/>
                <w:sz w:val="22"/>
                <w:szCs w:val="22"/>
                <w:lang w:val="ru-RU" w:eastAsia="en-US" w:bidi="ar-SA"/>
              </w:rPr>
              <w:t>250-81-80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rFonts w:eastAsia="Arial" w:cs="Arial"/>
                <w:b/>
                <w:color w:val="002060"/>
                <w:kern w:val="0"/>
                <w:sz w:val="20"/>
                <w:szCs w:val="20"/>
                <w:lang w:val="ru-RU" w:eastAsia="en-US" w:bidi="ar-SA"/>
              </w:rPr>
              <w:t>(круглосуточно)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highlight w:val="none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highlight w:val="none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highlight w:val="none"/>
              </w:rPr>
            </w:pPr>
            <w:r>
              <w:rPr>
                <w:rFonts w:eastAsia="Arial" w:cs="Arial"/>
                <w:b/>
                <w:color w:val="002060"/>
                <w:kern w:val="0"/>
                <w:sz w:val="22"/>
                <w:szCs w:val="22"/>
                <w:lang w:val="ru-RU" w:eastAsia="en-US" w:bidi="ar-SA"/>
              </w:rPr>
              <w:t>259-05-78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highlight w:val="none"/>
              </w:rPr>
            </w:pPr>
            <w:r>
              <w:rPr>
                <w:rFonts w:eastAsia="Arial" w:cs="Arial"/>
                <w:b/>
                <w:color w:val="002060"/>
                <w:kern w:val="0"/>
                <w:sz w:val="22"/>
                <w:szCs w:val="22"/>
                <w:lang w:val="ru-RU" w:eastAsia="en-US" w:bidi="ar-SA"/>
              </w:rPr>
              <w:t>112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sz w:val="20"/>
                <w:szCs w:val="20"/>
                <w:highlight w:val="none"/>
              </w:rPr>
            </w:pPr>
            <w:r>
              <w:rPr>
                <w:rFonts w:eastAsia="Arial" w:cs="Arial"/>
                <w:b/>
                <w:color w:val="002060"/>
                <w:kern w:val="0"/>
                <w:sz w:val="20"/>
                <w:szCs w:val="20"/>
                <w:lang w:val="ru-RU" w:eastAsia="en-US" w:bidi="ar-SA"/>
              </w:rPr>
              <w:t>(круглосуточно)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highlight w:val="none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highlight w:val="none"/>
              </w:rPr>
            </w:pPr>
            <w:r>
              <w:rPr>
                <w:rFonts w:eastAsia="Arial" w:cs="Arial"/>
                <w:b/>
                <w:color w:val="002060"/>
                <w:kern w:val="0"/>
                <w:sz w:val="22"/>
                <w:szCs w:val="22"/>
                <w:lang w:val="ru-RU" w:eastAsia="en-US" w:bidi="ar-SA"/>
              </w:rPr>
              <w:t>245-45-02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sz w:val="20"/>
                <w:szCs w:val="20"/>
                <w:highlight w:val="none"/>
              </w:rPr>
            </w:pPr>
            <w:r>
              <w:rPr>
                <w:rFonts w:eastAsia="Arial" w:cs="Arial"/>
                <w:b/>
                <w:color w:val="002060"/>
                <w:kern w:val="0"/>
                <w:sz w:val="20"/>
                <w:szCs w:val="20"/>
                <w:lang w:val="ru-RU" w:eastAsia="en-US" w:bidi="ar-SA"/>
              </w:rPr>
              <w:t>(круглосуточно)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  <w:highlight w:val="none"/>
              </w:rPr>
            </w:pPr>
            <w:r>
              <w:rPr>
                <w:rFonts w:eastAsia="Arial" w:cs="Arial"/>
                <w:b/>
                <w:color w:val="002060"/>
                <w:kern w:val="0"/>
                <w:sz w:val="22"/>
                <w:szCs w:val="22"/>
                <w:lang w:val="ru-RU" w:eastAsia="en-US" w:bidi="ar-SA"/>
              </w:rPr>
              <w:t>266-34-90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Cs/>
                <w:color w:val="002060"/>
              </w:rPr>
            </w:pPr>
            <w:r>
              <w:rPr>
                <w:rFonts w:eastAsia="Arial" w:cs="Arial"/>
                <w:b/>
                <w:color w:val="002060"/>
                <w:kern w:val="0"/>
                <w:sz w:val="22"/>
                <w:szCs w:val="22"/>
                <w:lang w:val="ru-RU" w:eastAsia="en-US" w:bidi="ar-SA"/>
              </w:rPr>
              <w:t>266-74-60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72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 w:eastAsia="Arial" w:cs="Times New Roman" w:eastAsiaTheme="minorHAnsi"/>
          <w:color w:val="333333"/>
          <w:sz w:val="24"/>
          <w:szCs w:val="24"/>
          <w:highlight w:val="none"/>
          <w:lang w:eastAsia="ru-RU"/>
        </w:rPr>
      </w:pPr>
      <w:r>
        <w:rPr/>
        <w:drawing>
          <wp:inline distT="0" distB="0" distL="0" distR="0">
            <wp:extent cx="791845" cy="655320"/>
            <wp:effectExtent l="0" t="0" r="0" b="0"/>
            <wp:docPr id="2" name="Рисунок 1" descr="C:\Users\s.zvyagintsev\Pictures\Camera Rol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s.zvyagintsev\Pictures\Camera Roll\logo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Arial" w:cs="Calibri" w:ascii="Calibri" w:hAnsi="Calibri" w:eastAsiaTheme="minorHAnsi"/>
          <w:b/>
          <w:color w:val="333333"/>
          <w:sz w:val="24"/>
          <w:szCs w:val="24"/>
          <w:shd w:fill="FFFFFF" w:val="clear"/>
        </w:rPr>
        <w:t xml:space="preserve">Администрация муниципального образования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Arial" w:cs="Calibri" w:ascii="Calibri" w:hAnsi="Calibri" w:eastAsiaTheme="minorHAnsi"/>
          <w:b/>
          <w:color w:val="333333"/>
          <w:sz w:val="24"/>
          <w:szCs w:val="24"/>
          <w:shd w:fill="FFFFFF" w:val="clear"/>
        </w:rPr>
        <w:t>город Краснодар</w:t>
      </w:r>
    </w:p>
    <w:p>
      <w:pPr>
        <w:pStyle w:val="Normal"/>
        <w:jc w:val="center"/>
        <w:rPr/>
      </w:pPr>
      <w:r>
        <w:rPr>
          <w:rFonts w:eastAsia="Arial" w:cs="Calibri" w:ascii="Calibri" w:hAnsi="Calibri" w:eastAsiaTheme="minorHAnsi"/>
          <w:color w:val="333333"/>
          <w:shd w:fill="FFFFFF" w:val="clear"/>
        </w:rPr>
        <w:t xml:space="preserve">Антинаркотическая комиссия </w:t>
      </w:r>
    </w:p>
    <w:p>
      <w:pPr>
        <w:pStyle w:val="Normal"/>
        <w:jc w:val="center"/>
        <w:rPr>
          <w:rFonts w:ascii="Caladea" w:hAnsi="Caladea" w:cs="Caladea"/>
          <w:sz w:val="28"/>
          <w:szCs w:val="28"/>
          <w:highlight w:val="none"/>
        </w:rPr>
      </w:pPr>
      <w:r>
        <w:rPr/>
        <w:drawing>
          <wp:inline distT="0" distB="0" distL="0" distR="0">
            <wp:extent cx="910590" cy="910590"/>
            <wp:effectExtent l="0" t="0" r="0" b="0"/>
            <wp:docPr id="3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Caladea" w:hAnsi="Caladea" w:cs="Caladea"/>
          <w:sz w:val="28"/>
          <w:szCs w:val="28"/>
          <w:highlight w:val="none"/>
        </w:rPr>
      </w:pPr>
      <w:r>
        <w:rPr>
          <w:rFonts w:cs="Caladea" w:ascii="Caladea" w:hAnsi="Caladea"/>
          <w:color w:val="FF0000"/>
          <w:sz w:val="28"/>
          <w:szCs w:val="28"/>
        </w:rPr>
        <w:t>КАК ЗАЩИТИТЬ НАШИХ ДЕТЕЙ?</w:t>
      </w:r>
    </w:p>
    <w:p>
      <w:pPr>
        <w:pStyle w:val="Normal"/>
        <w:rPr/>
      </w:pPr>
      <w:r>
        <w:rPr/>
        <w:drawing>
          <wp:inline distT="0" distB="0" distL="0" distR="0">
            <wp:extent cx="3395980" cy="2266315"/>
            <wp:effectExtent l="0" t="0" r="0" b="0"/>
            <wp:docPr id="4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Caladea" w:hAnsi="Caladea" w:cs="Caladea"/>
          <w:color w:val="FF0000"/>
          <w:sz w:val="32"/>
          <w:szCs w:val="32"/>
          <w:highlight w:val="none"/>
        </w:rPr>
      </w:pPr>
      <w:r>
        <w:rPr>
          <w:rFonts w:cs="Caladea" w:ascii="Caladea" w:hAnsi="Caladea"/>
          <w:color w:val="FF0000"/>
          <w:sz w:val="32"/>
          <w:szCs w:val="32"/>
        </w:rPr>
        <w:t>Вы родители?</w:t>
      </w:r>
    </w:p>
    <w:p>
      <w:pPr>
        <w:pStyle w:val="Normal"/>
        <w:spacing w:lineRule="auto" w:line="240" w:before="0" w:after="0"/>
        <w:jc w:val="center"/>
        <w:rPr>
          <w:rFonts w:ascii="Caladea" w:hAnsi="Caladea" w:cs="Caladea"/>
          <w:color w:val="FF0000"/>
          <w:sz w:val="32"/>
          <w:szCs w:val="32"/>
          <w:highlight w:val="none"/>
        </w:rPr>
      </w:pPr>
      <w:r>
        <w:rPr>
          <w:rFonts w:cs="Caladea" w:ascii="Caladea" w:hAnsi="Caladea"/>
          <w:color w:val="FF0000"/>
          <w:sz w:val="32"/>
          <w:szCs w:val="32"/>
        </w:rPr>
        <w:t>У Вас дети-подростки?</w:t>
      </w:r>
    </w:p>
    <w:p>
      <w:pPr>
        <w:pStyle w:val="Normal"/>
        <w:spacing w:lineRule="auto" w:line="240" w:before="0" w:after="0"/>
        <w:jc w:val="center"/>
        <w:rPr>
          <w:rFonts w:ascii="Caladea" w:hAnsi="Caladea" w:cs="Caladea"/>
          <w:sz w:val="32"/>
          <w:szCs w:val="32"/>
        </w:rPr>
      </w:pPr>
      <w:r>
        <w:rPr>
          <w:rFonts w:cs="Caladea" w:ascii="Caladea" w:hAnsi="Caladea"/>
          <w:color w:val="FF0000"/>
          <w:sz w:val="32"/>
          <w:szCs w:val="32"/>
        </w:rPr>
        <w:t>Тогда этот буклет для Вас!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 w:left="142" w:right="199"/>
        <w:jc w:val="both"/>
        <w:rPr>
          <w:b/>
          <w:bCs/>
          <w:color w:val="FF0000"/>
          <w:sz w:val="28"/>
          <w:szCs w:val="28"/>
          <w:highlight w:val="none"/>
        </w:rPr>
      </w:pPr>
      <w:r>
        <w:rPr>
          <w:b/>
          <w:bCs/>
          <w:color w:val="FF0000"/>
          <w:sz w:val="28"/>
          <w:szCs w:val="28"/>
        </w:rPr>
        <w:t>Причины, толкающие ребёнка попробовать наркотики: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 xml:space="preserve">выражение протеста </w:t>
      </w:r>
      <w:r>
        <w:rPr>
          <w:sz w:val="22"/>
          <w:szCs w:val="22"/>
          <w:lang w:eastAsia="ru-RU"/>
        </w:rPr>
        <w:t>против существующих в обществе взрослых людей моральных норм и принципов</w:t>
      </w:r>
      <w:r>
        <w:rPr>
          <w:sz w:val="22"/>
          <w:szCs w:val="22"/>
        </w:rPr>
        <w:t>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это вызывает приятные ощущения;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это риск, который вызывает интерес;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это принято в кругу общения;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это знак принадлежности к определённой группе;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это помогает чувствовать себя взрослым либо «крутым».</w:t>
      </w:r>
    </w:p>
    <w:p>
      <w:pPr>
        <w:pStyle w:val="Normal"/>
        <w:spacing w:lineRule="auto" w:line="276"/>
        <w:ind w:firstLine="566" w:left="142" w:right="199"/>
        <w:jc w:val="both"/>
        <w:rPr>
          <w:b/>
          <w:bCs/>
          <w:color w:val="FF0000"/>
          <w:sz w:val="24"/>
          <w:szCs w:val="24"/>
          <w:highlight w:val="none"/>
          <w14:ligatures w14:val="none"/>
        </w:rPr>
      </w:pPr>
      <w:r>
        <w:rPr>
          <w:b/>
          <w:bCs/>
          <w:color w:val="FF0000"/>
          <w:sz w:val="28"/>
          <w:szCs w:val="28"/>
        </w:rPr>
        <w:t>Физиологические признаки употребления наркотиков: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бледность кожи;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замедленная или бессвязная речь;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сильные колебания настроения, активности;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изменения аппетита (либо плохо ест, либо прожорлив);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изменения глаз: блеска, ширины зрачков, покраснение или мутность глаз, появление светобоязни, предпочтение затемнённых помещений;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хронический кашель;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плохая координация движений.</w:t>
      </w:r>
    </w:p>
    <w:p>
      <w:pPr>
        <w:pStyle w:val="Normal"/>
        <w:tabs>
          <w:tab w:val="clear" w:pos="708"/>
        </w:tabs>
        <w:spacing w:lineRule="auto" w:line="276"/>
        <w:ind w:hanging="0" w:left="142" w:right="199"/>
        <w:jc w:val="both"/>
        <w:rPr>
          <w:b/>
          <w:bCs/>
          <w:color w:val="FF0000"/>
          <w:sz w:val="28"/>
          <w:szCs w:val="28"/>
          <w:highlight w:val="none"/>
          <w14:ligatures w14:val="none"/>
        </w:rPr>
      </w:pPr>
      <w:r>
        <w:rPr>
          <w:b/>
          <w:bCs/>
          <w:color w:val="FF0000"/>
          <w:sz w:val="24"/>
          <w:szCs w:val="24"/>
        </w:rPr>
        <w:tab/>
      </w:r>
      <w:r>
        <w:rPr>
          <w:b/>
          <w:bCs/>
          <w:color w:val="FF0000"/>
          <w:sz w:val="28"/>
          <w:szCs w:val="28"/>
        </w:rPr>
        <w:t>Поведенческие признаки употребления наркотиков: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беспричинные возбуждение или вялость;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нарастающее безразличие ко всему;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ухудшение памяти и внимания;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199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бессонница;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340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частая и резкая смена настроения;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340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 xml:space="preserve">неопрятный внешний вид; 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340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избегание общения с людьми, с которыми раньше был близок;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340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самоизоляция, уход от участия в делах;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340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частые телефонные звонки;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340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постоянная потребность в денежных средствах;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340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уходы из дома, частое отсутствие в школе по непонятным причинам;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0"/>
        <w:ind w:hanging="436" w:left="578" w:right="340"/>
        <w:contextualSpacing/>
        <w:jc w:val="both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</w:rPr>
        <w:t>пропажа ценностей, одежды;</w:t>
      </w:r>
    </w:p>
    <w:p>
      <w:pPr>
        <w:pStyle w:val="ListParagraph"/>
        <w:numPr>
          <w:ilvl w:val="0"/>
          <w:numId w:val="1"/>
        </w:numPr>
        <w:tabs>
          <w:tab w:val="clear" w:pos="708"/>
        </w:tabs>
        <w:spacing w:lineRule="auto" w:line="276" w:before="0" w:after="200"/>
        <w:ind w:hanging="436" w:left="578" w:right="340"/>
        <w:contextualSpacing/>
        <w:jc w:val="both"/>
        <w:rPr>
          <w:sz w:val="24"/>
          <w:szCs w:val="24"/>
          <w:highlight w:val="none"/>
          <w14:ligatures w14:val="none"/>
        </w:rPr>
      </w:pPr>
      <w:r>
        <w:rPr>
          <w:sz w:val="22"/>
          <w:szCs w:val="22"/>
        </w:rPr>
        <w:t>ложь, уход от ответов на прямые вопросы.</w:t>
      </w:r>
    </w:p>
    <w:p>
      <w:pPr>
        <w:pStyle w:val="Normal"/>
        <w:ind w:firstLine="708" w:left="142" w:right="340"/>
        <w:jc w:val="both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Действия родителей, если они подозревают ребенка в употреблении наркотиков:</w:t>
      </w:r>
    </w:p>
    <w:p>
      <w:pPr>
        <w:pStyle w:val="ListParagraph"/>
        <w:numPr>
          <w:ilvl w:val="0"/>
          <w:numId w:val="4"/>
        </w:numPr>
        <w:tabs>
          <w:tab w:val="clear" w:pos="708"/>
        </w:tabs>
        <w:spacing w:lineRule="auto" w:line="276" w:before="0" w:after="0"/>
        <w:ind w:hanging="283" w:left="425" w:right="3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не впадать в панику;</w:t>
      </w:r>
    </w:p>
    <w:p>
      <w:pPr>
        <w:pStyle w:val="ListParagraph"/>
        <w:numPr>
          <w:ilvl w:val="0"/>
          <w:numId w:val="4"/>
        </w:numPr>
        <w:tabs>
          <w:tab w:val="clear" w:pos="708"/>
        </w:tabs>
        <w:spacing w:lineRule="auto" w:line="276" w:before="0" w:after="0"/>
        <w:ind w:hanging="283" w:left="425" w:right="3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обсудить с ребенком (подростком) эту проблему, не пытаясь кричать на него или обвинять в чем-либо;</w:t>
      </w:r>
    </w:p>
    <w:p>
      <w:pPr>
        <w:pStyle w:val="ListParagraph"/>
        <w:numPr>
          <w:ilvl w:val="0"/>
          <w:numId w:val="4"/>
        </w:numPr>
        <w:tabs>
          <w:tab w:val="clear" w:pos="708"/>
        </w:tabs>
        <w:spacing w:lineRule="auto" w:line="276" w:before="0" w:after="0"/>
        <w:ind w:hanging="283" w:left="425" w:right="3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не проявляйте агрессии, не читайте мораль, не угрожайте, не наказывайте ребенка;</w:t>
      </w:r>
    </w:p>
    <w:p>
      <w:pPr>
        <w:pStyle w:val="ListParagraph"/>
        <w:numPr>
          <w:ilvl w:val="0"/>
          <w:numId w:val="4"/>
        </w:numPr>
        <w:tabs>
          <w:tab w:val="clear" w:pos="708"/>
        </w:tabs>
        <w:spacing w:lineRule="auto" w:line="276" w:before="0" w:after="0"/>
        <w:ind w:hanging="283" w:left="425" w:right="3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поддержите его, проявив заботу и доверие;</w:t>
      </w:r>
    </w:p>
    <w:p>
      <w:pPr>
        <w:pStyle w:val="ListParagraph"/>
        <w:numPr>
          <w:ilvl w:val="0"/>
          <w:numId w:val="4"/>
        </w:numPr>
        <w:tabs>
          <w:tab w:val="clear" w:pos="708"/>
        </w:tabs>
        <w:spacing w:lineRule="auto" w:line="276" w:before="0" w:after="0"/>
        <w:ind w:hanging="283" w:left="425" w:right="3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не верьте его уверениям в том, что он сам сможет справиться с этим без посторонней помощи;</w:t>
      </w:r>
    </w:p>
    <w:p>
      <w:pPr>
        <w:pStyle w:val="ListParagraph"/>
        <w:numPr>
          <w:ilvl w:val="0"/>
          <w:numId w:val="4"/>
        </w:numPr>
        <w:spacing w:lineRule="auto" w:line="276" w:before="0" w:after="200"/>
        <w:ind w:hanging="283" w:left="425" w:right="340"/>
        <w:contextualSpacing/>
        <w:jc w:val="both"/>
        <w:rPr>
          <w:b/>
          <w:bCs/>
          <w:color w:val="FF0000"/>
          <w:sz w:val="22"/>
          <w:szCs w:val="22"/>
          <w:highlight w:val="none"/>
        </w:rPr>
      </w:pPr>
      <w:r>
        <w:rPr>
          <w:sz w:val="22"/>
          <w:szCs w:val="22"/>
        </w:rPr>
        <w:t>попытайтесь уговорить его обратиться к специалистам.</w:t>
      </w:r>
    </w:p>
    <w:p>
      <w:pPr>
        <w:pStyle w:val="Normal"/>
        <w:ind w:firstLine="708" w:left="142" w:right="0"/>
        <w:jc w:val="both"/>
        <w:rPr>
          <w:b/>
          <w:bCs/>
          <w:color w:val="FF0000"/>
          <w:sz w:val="28"/>
          <w:szCs w:val="28"/>
          <w:highlight w:val="none"/>
          <w14:ligatures w14:val="none"/>
        </w:rPr>
      </w:pPr>
      <w:r>
        <w:rPr>
          <w:b/>
          <w:bCs/>
          <w:color w:val="FF0000"/>
          <w:sz w:val="28"/>
          <w:szCs w:val="28"/>
        </w:rPr>
        <w:t>Помните, очень важно: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29" w:leader="none"/>
        </w:tabs>
        <w:spacing w:lineRule="atLeast" w:line="0"/>
        <w:ind w:hanging="87" w:left="229" w:right="340"/>
        <w:jc w:val="both"/>
        <w:rPr/>
      </w:pPr>
      <w:r>
        <w:rPr>
          <w:rFonts w:eastAsia="Arial" w:cs="Arial"/>
          <w:b/>
          <w:sz w:val="24"/>
        </w:rPr>
        <w:t>Не разрывать общение даже в конфликте</w:t>
      </w:r>
      <w:r>
        <w:rPr/>
        <w:t>.</w:t>
      </w:r>
    </w:p>
    <w:p>
      <w:pPr>
        <w:pStyle w:val="Normal"/>
        <w:spacing w:lineRule="atLeast" w:line="0"/>
        <w:ind w:firstLine="699" w:left="142" w:right="340"/>
        <w:jc w:val="both"/>
        <w:rPr>
          <w:sz w:val="22"/>
          <w:szCs w:val="22"/>
          <w:highlight w:val="none"/>
        </w:rPr>
      </w:pPr>
      <w:r>
        <w:rPr>
          <w:rFonts w:eastAsia="Arial" w:cs="Arial"/>
          <w:sz w:val="22"/>
          <w:szCs w:val="22"/>
        </w:rPr>
        <w:t>Что бы Вам не сказал ребёнок, не нужно обижаться. Помните: рядом</w:t>
      </w:r>
      <w:r>
        <w:rPr>
          <w:sz w:val="22"/>
          <w:szCs w:val="22"/>
        </w:rPr>
        <w:t xml:space="preserve"> с </w:t>
      </w:r>
      <w:r>
        <w:rPr>
          <w:rFonts w:eastAsia="Arial" w:cs="Arial"/>
          <w:sz w:val="22"/>
          <w:szCs w:val="22"/>
        </w:rPr>
        <w:t>Вами всё тот же дорогой и любимый человек, но ему в данный момент требуется помощь и Ваша поддержка.</w:t>
      </w:r>
    </w:p>
    <w:p>
      <w:pPr>
        <w:pStyle w:val="Normal"/>
        <w:spacing w:lineRule="atLeast" w:line="0"/>
        <w:ind w:firstLine="699" w:left="142" w:right="3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29" w:leader="none"/>
        </w:tabs>
        <w:spacing w:lineRule="atLeast" w:line="0"/>
        <w:ind w:hanging="87" w:left="229" w:right="0"/>
        <w:rPr/>
      </w:pPr>
      <w:r>
        <w:rPr>
          <w:rFonts w:eastAsia="Arial" w:cs="Arial"/>
          <w:b/>
          <w:sz w:val="24"/>
        </w:rPr>
        <w:t>Создавать «общую реальность»</w:t>
      </w:r>
      <w:r>
        <w:rPr/>
        <w:t>.</w:t>
      </w:r>
    </w:p>
    <w:p>
      <w:pPr>
        <w:pStyle w:val="Normal"/>
        <w:spacing w:lineRule="auto" w:line="259" w:before="0" w:after="0"/>
        <w:ind w:firstLine="566" w:left="142" w:right="199"/>
        <w:jc w:val="both"/>
        <w:rPr>
          <w:sz w:val="22"/>
          <w:szCs w:val="22"/>
        </w:rPr>
      </w:pPr>
      <w:r>
        <w:rPr>
          <w:rFonts w:eastAsia="Arial" w:cs="Arial"/>
          <w:sz w:val="22"/>
          <w:szCs w:val="22"/>
        </w:rPr>
        <w:t>Нужно идти в ногу со временем, чтобы понимать своего ребёнка, его увлечения и какие-либо поступки. Как это делать?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31" w:leader="none"/>
        </w:tabs>
        <w:spacing w:lineRule="auto" w:line="247" w:before="0" w:after="0"/>
        <w:ind w:hanging="0" w:left="142" w:right="199"/>
        <w:jc w:val="both"/>
        <w:rPr>
          <w:sz w:val="22"/>
          <w:szCs w:val="22"/>
        </w:rPr>
      </w:pPr>
      <w:r>
        <w:rPr>
          <w:rFonts w:eastAsia="Arial" w:cs="Arial"/>
          <w:sz w:val="22"/>
          <w:szCs w:val="22"/>
        </w:rPr>
        <w:t>Заведите себе социальную сеть, пусть ребёнок поможет Вам в ней разобраться;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29" w:leader="none"/>
        </w:tabs>
        <w:spacing w:lineRule="atLeast" w:line="0" w:before="0" w:after="0"/>
        <w:ind w:hanging="0" w:left="142" w:right="199"/>
        <w:jc w:val="both"/>
        <w:rPr>
          <w:sz w:val="22"/>
          <w:szCs w:val="22"/>
        </w:rPr>
      </w:pPr>
      <w:r>
        <w:rPr>
          <w:rFonts w:eastAsia="Arial" w:cs="Arial"/>
          <w:sz w:val="22"/>
          <w:szCs w:val="22"/>
        </w:rPr>
        <w:t>ходите вместе по магазинам за покупками и в кино;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31" w:leader="none"/>
        </w:tabs>
        <w:spacing w:lineRule="auto" w:line="247" w:before="0" w:after="0"/>
        <w:ind w:hanging="0" w:left="142" w:right="199"/>
        <w:jc w:val="both"/>
        <w:rPr>
          <w:sz w:val="22"/>
          <w:szCs w:val="22"/>
        </w:rPr>
      </w:pPr>
      <w:r>
        <w:rPr>
          <w:rFonts w:eastAsia="Arial" w:cs="Arial"/>
          <w:sz w:val="22"/>
          <w:szCs w:val="22"/>
        </w:rPr>
        <w:t>проведите совместные выходные так, как ему интересно, – посетите квест-комнату, займитесь вместе спортом, просто сходите в кафе;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31" w:leader="none"/>
        </w:tabs>
        <w:spacing w:lineRule="auto" w:line="247" w:before="0" w:after="0"/>
        <w:ind w:hanging="0" w:left="142" w:right="199"/>
        <w:jc w:val="both"/>
        <w:rPr>
          <w:sz w:val="22"/>
          <w:szCs w:val="22"/>
        </w:rPr>
      </w:pPr>
      <w:r>
        <w:rPr>
          <w:rFonts w:eastAsia="Arial" w:cs="Arial"/>
          <w:sz w:val="22"/>
          <w:szCs w:val="22"/>
        </w:rPr>
        <w:t>дружите с его друзьями, приглашайте их в гости, интересуйтесь, как у них дела;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31" w:leader="none"/>
        </w:tabs>
        <w:spacing w:lineRule="auto" w:line="264" w:before="0" w:after="0"/>
        <w:ind w:hanging="0" w:left="142" w:right="199"/>
        <w:jc w:val="both"/>
        <w:rPr>
          <w:rFonts w:ascii="Arial" w:hAnsi="Arial" w:eastAsia="Arial" w:cs="Arial"/>
          <w:b/>
          <w:bCs/>
          <w:color w:val="D2232A"/>
          <w:sz w:val="24"/>
          <w:szCs w:val="24"/>
        </w:rPr>
      </w:pPr>
      <w:r>
        <w:rPr>
          <w:rFonts w:eastAsia="Arial" w:cs="Arial"/>
          <w:sz w:val="22"/>
          <w:szCs w:val="22"/>
        </w:rPr>
        <w:t>разделите увлечения Вашего близкого человека, чтобы он не отделялся от Вас</w:t>
      </w:r>
      <w:r>
        <w:rPr>
          <w:rFonts w:eastAsia="Arial" w:cs="Arial"/>
          <w:sz w:val="24"/>
        </w:rPr>
        <w:t>.</w:t>
      </w:r>
    </w:p>
    <w:p>
      <w:pPr>
        <w:pStyle w:val="Normal"/>
        <w:tabs>
          <w:tab w:val="clear" w:pos="708"/>
          <w:tab w:val="left" w:pos="131" w:leader="none"/>
        </w:tabs>
        <w:spacing w:lineRule="auto" w:line="264" w:before="0" w:after="0"/>
        <w:ind w:hanging="0" w:left="142" w:right="199"/>
        <w:jc w:val="both"/>
        <w:rPr>
          <w:rFonts w:ascii="Arial" w:hAnsi="Arial" w:eastAsia="Arial" w:cs="Arial"/>
          <w:b/>
          <w:bCs/>
          <w:color w:val="D2232A"/>
          <w:sz w:val="24"/>
          <w:szCs w:val="24"/>
        </w:rPr>
      </w:pPr>
      <w:r>
        <w:rPr>
          <w:rFonts w:eastAsia="Arial" w:cs="Arial"/>
          <w:b/>
          <w:bCs/>
          <w:color w:val="D2232A"/>
          <w:sz w:val="24"/>
          <w:szCs w:val="24"/>
        </w:rPr>
      </w:r>
    </w:p>
    <w:p>
      <w:pPr>
        <w:pStyle w:val="Normal"/>
        <w:tabs>
          <w:tab w:val="clear" w:pos="708"/>
          <w:tab w:val="left" w:pos="260" w:leader="none"/>
        </w:tabs>
        <w:spacing w:lineRule="atLeast" w:line="0"/>
        <w:ind w:hanging="0" w:left="142" w:right="0"/>
        <w:rPr/>
      </w:pPr>
      <w:r>
        <w:rPr>
          <w:rFonts w:eastAsia="Arial" w:cs="Arial"/>
          <w:b/>
          <w:sz w:val="24"/>
        </w:rPr>
        <w:t>3.    Просить совета в делах семьи</w:t>
      </w:r>
      <w:r>
        <w:rPr/>
        <w:t>.</w:t>
      </w:r>
    </w:p>
    <w:p>
      <w:pPr>
        <w:pStyle w:val="Normal"/>
        <w:spacing w:lineRule="auto" w:line="252"/>
        <w:ind w:firstLine="668" w:left="142" w:right="199"/>
        <w:jc w:val="both"/>
        <w:rPr>
          <w:sz w:val="22"/>
          <w:szCs w:val="22"/>
        </w:rPr>
      </w:pPr>
      <w:r>
        <w:rPr>
          <w:rFonts w:eastAsia="Arial" w:cs="Arial"/>
          <w:sz w:val="22"/>
          <w:szCs w:val="22"/>
        </w:rPr>
        <w:t>Как вы будете поздравлять бабушку с юбилеем? А куда поедете отдыхать на летних каникулах? Решайте все семейные вопросы совместно. Ребёнок должен понимать, что он такой же равноценный в правах член семьи.</w:t>
      </w:r>
    </w:p>
    <w:p>
      <w:pPr>
        <w:pStyle w:val="Normal"/>
        <w:tabs>
          <w:tab w:val="clear" w:pos="708"/>
          <w:tab w:val="left" w:pos="567" w:leader="none"/>
        </w:tabs>
        <w:spacing w:lineRule="atLeast" w:line="0"/>
        <w:ind w:hanging="0" w:left="142" w:right="199"/>
        <w:jc w:val="both"/>
        <w:rPr>
          <w:sz w:val="24"/>
          <w:szCs w:val="24"/>
        </w:rPr>
      </w:pPr>
      <w:r>
        <w:rPr>
          <w:rFonts w:eastAsia="Arial" w:cs="Arial"/>
          <w:b/>
          <w:sz w:val="24"/>
          <w:szCs w:val="24"/>
        </w:rPr>
        <w:t>4.   Детей нельзя научить, они могут только скопировать</w:t>
      </w:r>
    </w:p>
    <w:p>
      <w:pPr>
        <w:pStyle w:val="Normal"/>
        <w:spacing w:before="0" w:after="200"/>
        <w:ind w:firstLine="708" w:left="142" w:right="199"/>
        <w:jc w:val="both"/>
        <w:rPr>
          <w:sz w:val="24"/>
          <w:szCs w:val="24"/>
          <w:highlight w:val="none"/>
          <w14:ligatures w14:val="none"/>
        </w:rPr>
      </w:pPr>
      <w:r>
        <w:rPr>
          <w:rFonts w:eastAsia="Arial" w:cs="Arial"/>
          <w:sz w:val="22"/>
          <w:szCs w:val="22"/>
        </w:rPr>
        <w:t>Это главное правило, которое неизменно. Как Вы ведёте себя дома, так Ваш ребёнок будет вести себя в социуме – в школе, садике, компании друзей. Подавайте хороший и здоровый пример!</w:t>
      </w:r>
    </w:p>
    <w:sectPr>
      <w:type w:val="continuous"/>
      <w:pgSz w:orient="landscape" w:w="16838" w:h="11906"/>
      <w:pgMar w:left="142" w:right="255" w:gutter="0" w:header="0" w:top="284" w:footer="0" w:bottom="284"/>
      <w:cols w:num="3" w:space="268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adea">
    <w:altName w:val="Cambria"/>
    <w:charset w:val="01"/>
    <w:family w:val="roman"/>
    <w:pitch w:val="default"/>
  </w:font>
  <w:font w:name="Calibri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4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Style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2" w:customStyle="1">
    <w:name w:val="Основной текст 2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480" w:beforeAutospacing="0" w:before="0" w:afterAutospacing="0" w:after="120"/>
      <w:ind w:hanging="0" w:left="0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LibreOffice/7.6.7.2$Linux_X86_64 LibreOffice_project/60$Build-2</Application>
  <AppVersion>15.0000</AppVersion>
  <Pages>5</Pages>
  <Words>655</Words>
  <Characters>4070</Characters>
  <CharactersWithSpaces>4615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2025-01-20T10:34:14Z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87001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S10.3.1</vt:lpwstr>
  </property>
</Properties>
</file>